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6196B" w14:textId="77777777" w:rsidR="00DF5ABD" w:rsidRDefault="00DF5ABD">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7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9"/>
        <w:gridCol w:w="2467"/>
        <w:gridCol w:w="2467"/>
        <w:gridCol w:w="2467"/>
        <w:gridCol w:w="2466"/>
        <w:gridCol w:w="2466"/>
        <w:gridCol w:w="2466"/>
      </w:tblGrid>
      <w:tr w:rsidR="00DF5ABD" w14:paraId="29BC7FB1" w14:textId="77777777">
        <w:tc>
          <w:tcPr>
            <w:tcW w:w="2470" w:type="dxa"/>
            <w:shd w:val="clear" w:color="auto" w:fill="FFFFFF"/>
          </w:tcPr>
          <w:p w14:paraId="118A20ED" w14:textId="77777777" w:rsidR="00DF5ABD" w:rsidRDefault="001750AA">
            <w:pPr>
              <w:rPr>
                <w:rFonts w:ascii="Arial" w:eastAsia="Arial" w:hAnsi="Arial" w:cs="Arial"/>
                <w:b/>
                <w:sz w:val="20"/>
                <w:szCs w:val="20"/>
              </w:rPr>
            </w:pPr>
            <w:r>
              <w:rPr>
                <w:rFonts w:ascii="Arial" w:eastAsia="Arial" w:hAnsi="Arial" w:cs="Arial"/>
                <w:b/>
                <w:sz w:val="20"/>
                <w:szCs w:val="20"/>
              </w:rPr>
              <w:t>DESCRIPCIÓN DEL SERVICIO</w:t>
            </w:r>
          </w:p>
        </w:tc>
        <w:tc>
          <w:tcPr>
            <w:tcW w:w="2467" w:type="dxa"/>
            <w:shd w:val="clear" w:color="auto" w:fill="FFFFFF"/>
          </w:tcPr>
          <w:p w14:paraId="7B1DCBBB" w14:textId="77777777" w:rsidR="00DF5ABD" w:rsidRDefault="001750AA">
            <w:pPr>
              <w:rPr>
                <w:rFonts w:ascii="Arial" w:eastAsia="Arial" w:hAnsi="Arial" w:cs="Arial"/>
                <w:b/>
                <w:sz w:val="20"/>
                <w:szCs w:val="20"/>
              </w:rPr>
            </w:pPr>
            <w:r>
              <w:rPr>
                <w:rFonts w:ascii="Arial" w:eastAsia="Arial" w:hAnsi="Arial" w:cs="Arial"/>
                <w:b/>
                <w:sz w:val="20"/>
                <w:szCs w:val="20"/>
              </w:rPr>
              <w:t>REQUISITOS Y ANTECEDENTES PARA ACCEDER AL SERVICIO</w:t>
            </w:r>
          </w:p>
        </w:tc>
        <w:tc>
          <w:tcPr>
            <w:tcW w:w="2467" w:type="dxa"/>
            <w:shd w:val="clear" w:color="auto" w:fill="FFFFFF"/>
          </w:tcPr>
          <w:p w14:paraId="411DC882" w14:textId="77777777" w:rsidR="00DF5ABD" w:rsidRDefault="001750AA">
            <w:pPr>
              <w:rPr>
                <w:rFonts w:ascii="Arial" w:eastAsia="Arial" w:hAnsi="Arial" w:cs="Arial"/>
                <w:b/>
                <w:sz w:val="20"/>
                <w:szCs w:val="20"/>
              </w:rPr>
            </w:pPr>
            <w:r>
              <w:rPr>
                <w:rFonts w:ascii="Arial" w:eastAsia="Arial" w:hAnsi="Arial" w:cs="Arial"/>
                <w:b/>
                <w:sz w:val="20"/>
                <w:szCs w:val="20"/>
              </w:rPr>
              <w:t>SE REALIZA EL TRAMITE EN LÍNEA</w:t>
            </w:r>
          </w:p>
        </w:tc>
        <w:tc>
          <w:tcPr>
            <w:tcW w:w="2467" w:type="dxa"/>
            <w:shd w:val="clear" w:color="auto" w:fill="FFFFFF"/>
          </w:tcPr>
          <w:p w14:paraId="2EA1FB92" w14:textId="77777777" w:rsidR="00DF5ABD" w:rsidRDefault="001750AA">
            <w:pPr>
              <w:rPr>
                <w:rFonts w:ascii="Arial" w:eastAsia="Arial" w:hAnsi="Arial" w:cs="Arial"/>
                <w:b/>
                <w:sz w:val="20"/>
                <w:szCs w:val="20"/>
              </w:rPr>
            </w:pPr>
            <w:r>
              <w:rPr>
                <w:rFonts w:ascii="Arial" w:eastAsia="Arial" w:hAnsi="Arial" w:cs="Arial"/>
                <w:b/>
                <w:sz w:val="20"/>
                <w:szCs w:val="20"/>
              </w:rPr>
              <w:t>TRAMITES A REALIZAR O ETAPAS DEL TRAMITE</w:t>
            </w:r>
          </w:p>
        </w:tc>
        <w:tc>
          <w:tcPr>
            <w:tcW w:w="2466" w:type="dxa"/>
            <w:shd w:val="clear" w:color="auto" w:fill="FFFFFF"/>
          </w:tcPr>
          <w:p w14:paraId="173CC970" w14:textId="77777777" w:rsidR="00DF5ABD" w:rsidRDefault="001750AA">
            <w:pPr>
              <w:rPr>
                <w:rFonts w:ascii="Arial" w:eastAsia="Arial" w:hAnsi="Arial" w:cs="Arial"/>
                <w:b/>
                <w:sz w:val="20"/>
                <w:szCs w:val="20"/>
              </w:rPr>
            </w:pPr>
            <w:r>
              <w:rPr>
                <w:rFonts w:ascii="Arial" w:eastAsia="Arial" w:hAnsi="Arial" w:cs="Arial"/>
                <w:b/>
                <w:sz w:val="20"/>
                <w:szCs w:val="20"/>
              </w:rPr>
              <w:t>VALOR</w:t>
            </w:r>
          </w:p>
        </w:tc>
        <w:tc>
          <w:tcPr>
            <w:tcW w:w="2466" w:type="dxa"/>
            <w:shd w:val="clear" w:color="auto" w:fill="FFFFFF"/>
          </w:tcPr>
          <w:p w14:paraId="12088669" w14:textId="77777777" w:rsidR="00DF5ABD" w:rsidRDefault="001750AA">
            <w:pPr>
              <w:rPr>
                <w:rFonts w:ascii="Arial" w:eastAsia="Arial" w:hAnsi="Arial" w:cs="Arial"/>
                <w:b/>
                <w:sz w:val="20"/>
                <w:szCs w:val="20"/>
              </w:rPr>
            </w:pPr>
            <w:r>
              <w:rPr>
                <w:rFonts w:ascii="Arial" w:eastAsia="Arial" w:hAnsi="Arial" w:cs="Arial"/>
                <w:b/>
                <w:sz w:val="20"/>
                <w:szCs w:val="20"/>
              </w:rPr>
              <w:t>LUGAR/ES DONDE SE REALIZA</w:t>
            </w:r>
          </w:p>
        </w:tc>
        <w:tc>
          <w:tcPr>
            <w:tcW w:w="2466" w:type="dxa"/>
            <w:shd w:val="clear" w:color="auto" w:fill="FFFFFF"/>
          </w:tcPr>
          <w:p w14:paraId="6C1930E0" w14:textId="77777777" w:rsidR="00DF5ABD" w:rsidRDefault="001750AA">
            <w:pPr>
              <w:rPr>
                <w:rFonts w:ascii="Arial" w:eastAsia="Arial" w:hAnsi="Arial" w:cs="Arial"/>
                <w:b/>
                <w:sz w:val="20"/>
                <w:szCs w:val="20"/>
              </w:rPr>
            </w:pPr>
            <w:r>
              <w:rPr>
                <w:rFonts w:ascii="Arial" w:eastAsia="Arial" w:hAnsi="Arial" w:cs="Arial"/>
                <w:b/>
                <w:sz w:val="20"/>
                <w:szCs w:val="20"/>
              </w:rPr>
              <w:t>ENLACE A INFORMACIÓN COMPLEMENTARIA.</w:t>
            </w:r>
          </w:p>
          <w:p w14:paraId="1D74ED33" w14:textId="77777777" w:rsidR="00DF5ABD" w:rsidRDefault="001750AA">
            <w:pPr>
              <w:rPr>
                <w:rFonts w:ascii="Arial" w:eastAsia="Arial" w:hAnsi="Arial" w:cs="Arial"/>
                <w:b/>
                <w:sz w:val="20"/>
                <w:szCs w:val="20"/>
              </w:rPr>
            </w:pPr>
            <w:r>
              <w:rPr>
                <w:rFonts w:ascii="Arial" w:eastAsia="Arial" w:hAnsi="Arial" w:cs="Arial"/>
                <w:b/>
                <w:sz w:val="20"/>
                <w:szCs w:val="20"/>
              </w:rPr>
              <w:t>LINK</w:t>
            </w:r>
          </w:p>
        </w:tc>
      </w:tr>
      <w:tr w:rsidR="00DF5ABD" w14:paraId="1C7F46D4" w14:textId="77777777">
        <w:tc>
          <w:tcPr>
            <w:tcW w:w="2470" w:type="dxa"/>
            <w:shd w:val="clear" w:color="auto" w:fill="FFFFFF"/>
          </w:tcPr>
          <w:p w14:paraId="3F7B6BB0" w14:textId="77777777" w:rsidR="00DF5ABD" w:rsidRDefault="001750AA">
            <w:pPr>
              <w:spacing w:after="200"/>
              <w:rPr>
                <w:rFonts w:ascii="Arial" w:eastAsia="Arial" w:hAnsi="Arial" w:cs="Arial"/>
                <w:b/>
                <w:sz w:val="20"/>
                <w:szCs w:val="20"/>
              </w:rPr>
            </w:pPr>
            <w:bookmarkStart w:id="0" w:name="_heading=h.gjdgxs" w:colFirst="0" w:colLast="0"/>
            <w:bookmarkEnd w:id="0"/>
            <w:r>
              <w:rPr>
                <w:rFonts w:ascii="Arial" w:eastAsia="Arial" w:hAnsi="Arial" w:cs="Arial"/>
                <w:b/>
                <w:sz w:val="20"/>
                <w:szCs w:val="20"/>
              </w:rPr>
              <w:t>ATENCIÓN EN VIOLENCIA INTRAFAMILIAR (VIF):</w:t>
            </w:r>
          </w:p>
          <w:p w14:paraId="7CDF163A" w14:textId="2F77A628" w:rsidR="00DF5ABD" w:rsidRDefault="001750AA">
            <w:pPr>
              <w:spacing w:after="200"/>
              <w:rPr>
                <w:rFonts w:ascii="Arial" w:eastAsia="Arial" w:hAnsi="Arial" w:cs="Arial"/>
                <w:sz w:val="20"/>
                <w:szCs w:val="20"/>
              </w:rPr>
            </w:pPr>
            <w:r>
              <w:rPr>
                <w:rFonts w:ascii="Arial" w:eastAsia="Arial" w:hAnsi="Arial" w:cs="Arial"/>
                <w:sz w:val="20"/>
                <w:szCs w:val="20"/>
              </w:rPr>
              <w:t xml:space="preserve">Otorgar una instancia de contención, orientación y reparación a mujeres y hombres que viven, </w:t>
            </w:r>
            <w:r w:rsidR="00D078D2">
              <w:rPr>
                <w:rFonts w:ascii="Arial" w:eastAsia="Arial" w:hAnsi="Arial" w:cs="Arial"/>
                <w:sz w:val="20"/>
                <w:szCs w:val="20"/>
              </w:rPr>
              <w:t xml:space="preserve">o </w:t>
            </w:r>
            <w:r>
              <w:rPr>
                <w:rFonts w:ascii="Arial" w:eastAsia="Arial" w:hAnsi="Arial" w:cs="Arial"/>
                <w:sz w:val="20"/>
                <w:szCs w:val="20"/>
              </w:rPr>
              <w:t xml:space="preserve">hayan vivido </w:t>
            </w:r>
            <w:r>
              <w:rPr>
                <w:rFonts w:ascii="Arial" w:eastAsia="Arial" w:hAnsi="Arial" w:cs="Arial"/>
                <w:sz w:val="20"/>
                <w:szCs w:val="20"/>
              </w:rPr>
              <w:t xml:space="preserve"> </w:t>
            </w:r>
            <w:r>
              <w:rPr>
                <w:rFonts w:ascii="Arial" w:eastAsia="Arial" w:hAnsi="Arial" w:cs="Arial"/>
                <w:sz w:val="20"/>
                <w:szCs w:val="20"/>
              </w:rPr>
              <w:t>violencia intrafamiliar, mediante la implementación de acciones preventivas y promoción de la res</w:t>
            </w:r>
            <w:r>
              <w:rPr>
                <w:rFonts w:ascii="Arial" w:eastAsia="Arial" w:hAnsi="Arial" w:cs="Arial"/>
                <w:sz w:val="20"/>
                <w:szCs w:val="20"/>
              </w:rPr>
              <w:t>olución de conflictos en el ámbito familiar y comunitario.</w:t>
            </w:r>
          </w:p>
        </w:tc>
        <w:tc>
          <w:tcPr>
            <w:tcW w:w="2467" w:type="dxa"/>
            <w:shd w:val="clear" w:color="auto" w:fill="FFFFFF"/>
          </w:tcPr>
          <w:p w14:paraId="1564A05D" w14:textId="77777777" w:rsidR="00DF5ABD" w:rsidRDefault="001750AA">
            <w:pPr>
              <w:numPr>
                <w:ilvl w:val="0"/>
                <w:numId w:val="3"/>
              </w:numPr>
              <w:pBdr>
                <w:top w:val="nil"/>
                <w:left w:val="nil"/>
                <w:bottom w:val="nil"/>
                <w:right w:val="nil"/>
                <w:between w:val="nil"/>
              </w:pBdr>
              <w:spacing w:after="160" w:line="259" w:lineRule="auto"/>
              <w:ind w:left="398"/>
              <w:rPr>
                <w:rFonts w:ascii="Arial" w:eastAsia="Arial" w:hAnsi="Arial" w:cs="Arial"/>
                <w:color w:val="000000"/>
                <w:sz w:val="20"/>
                <w:szCs w:val="20"/>
              </w:rPr>
            </w:pPr>
            <w:r>
              <w:rPr>
                <w:rFonts w:ascii="Arial" w:eastAsia="Arial" w:hAnsi="Arial" w:cs="Arial"/>
                <w:color w:val="000000"/>
                <w:sz w:val="20"/>
                <w:szCs w:val="20"/>
              </w:rPr>
              <w:t>Acreditar residencia en la comuna de Viña del Mar, mediante certificado de residencia o  cuenta de servicios nominativa.</w:t>
            </w:r>
          </w:p>
          <w:p w14:paraId="5068DBD6" w14:textId="77777777" w:rsidR="00DF5ABD" w:rsidRDefault="001750AA">
            <w:pPr>
              <w:numPr>
                <w:ilvl w:val="0"/>
                <w:numId w:val="3"/>
              </w:numPr>
              <w:pBdr>
                <w:top w:val="nil"/>
                <w:left w:val="nil"/>
                <w:bottom w:val="nil"/>
                <w:right w:val="nil"/>
                <w:between w:val="nil"/>
              </w:pBdr>
              <w:spacing w:after="200"/>
              <w:ind w:left="425"/>
              <w:rPr>
                <w:rFonts w:ascii="Arial" w:eastAsia="Arial" w:hAnsi="Arial" w:cs="Arial"/>
                <w:sz w:val="20"/>
                <w:szCs w:val="20"/>
              </w:rPr>
            </w:pPr>
            <w:r>
              <w:rPr>
                <w:rFonts w:ascii="Arial" w:eastAsia="Arial" w:hAnsi="Arial" w:cs="Arial"/>
                <w:sz w:val="20"/>
                <w:szCs w:val="20"/>
              </w:rPr>
              <w:t>Mayor de 18 años.</w:t>
            </w:r>
          </w:p>
          <w:p w14:paraId="61C68897" w14:textId="77777777" w:rsidR="00DF5ABD" w:rsidRDefault="001750AA">
            <w:pPr>
              <w:numPr>
                <w:ilvl w:val="0"/>
                <w:numId w:val="3"/>
              </w:numPr>
              <w:pBdr>
                <w:top w:val="nil"/>
                <w:left w:val="nil"/>
                <w:bottom w:val="nil"/>
                <w:right w:val="nil"/>
                <w:between w:val="nil"/>
              </w:pBdr>
              <w:spacing w:after="200"/>
              <w:ind w:left="425"/>
              <w:rPr>
                <w:rFonts w:ascii="Arial" w:eastAsia="Arial" w:hAnsi="Arial" w:cs="Arial"/>
                <w:sz w:val="20"/>
                <w:szCs w:val="20"/>
              </w:rPr>
            </w:pPr>
            <w:r>
              <w:rPr>
                <w:rFonts w:ascii="Arial" w:eastAsia="Arial" w:hAnsi="Arial" w:cs="Arial"/>
                <w:sz w:val="20"/>
                <w:szCs w:val="20"/>
              </w:rPr>
              <w:t>Cédula de Identidad.</w:t>
            </w:r>
          </w:p>
        </w:tc>
        <w:tc>
          <w:tcPr>
            <w:tcW w:w="2467" w:type="dxa"/>
            <w:shd w:val="clear" w:color="auto" w:fill="FFFFFF"/>
          </w:tcPr>
          <w:p w14:paraId="1872FF9F" w14:textId="77777777" w:rsidR="00DF5ABD" w:rsidRDefault="001750AA">
            <w:pPr>
              <w:spacing w:after="200"/>
              <w:rPr>
                <w:rFonts w:ascii="Arial" w:eastAsia="Arial" w:hAnsi="Arial" w:cs="Arial"/>
                <w:sz w:val="20"/>
                <w:szCs w:val="20"/>
              </w:rPr>
            </w:pPr>
            <w:r>
              <w:rPr>
                <w:rFonts w:ascii="Arial" w:eastAsia="Arial" w:hAnsi="Arial" w:cs="Arial"/>
                <w:sz w:val="20"/>
                <w:szCs w:val="20"/>
              </w:rPr>
              <w:t>No.</w:t>
            </w:r>
          </w:p>
        </w:tc>
        <w:tc>
          <w:tcPr>
            <w:tcW w:w="2467" w:type="dxa"/>
            <w:shd w:val="clear" w:color="auto" w:fill="FFFFFF"/>
          </w:tcPr>
          <w:p w14:paraId="0EC5266B" w14:textId="77777777" w:rsidR="00DF5ABD" w:rsidRDefault="001750AA">
            <w:pPr>
              <w:numPr>
                <w:ilvl w:val="0"/>
                <w:numId w:val="1"/>
              </w:numPr>
              <w:pBdr>
                <w:top w:val="nil"/>
                <w:left w:val="nil"/>
                <w:bottom w:val="nil"/>
                <w:right w:val="nil"/>
                <w:between w:val="nil"/>
              </w:pBdr>
              <w:spacing w:after="200"/>
              <w:ind w:left="425"/>
              <w:rPr>
                <w:rFonts w:ascii="Arial" w:eastAsia="Arial" w:hAnsi="Arial" w:cs="Arial"/>
                <w:color w:val="000000"/>
                <w:sz w:val="20"/>
                <w:szCs w:val="20"/>
              </w:rPr>
            </w:pPr>
            <w:r>
              <w:rPr>
                <w:rFonts w:ascii="Arial" w:eastAsia="Arial" w:hAnsi="Arial" w:cs="Arial"/>
                <w:sz w:val="20"/>
                <w:szCs w:val="20"/>
              </w:rPr>
              <w:t>Inscripción en Ventanilla Única (registro de datos formales).</w:t>
            </w:r>
          </w:p>
          <w:p w14:paraId="3C5F9E6E" w14:textId="77777777" w:rsidR="00DF5ABD" w:rsidRDefault="001750AA">
            <w:pPr>
              <w:numPr>
                <w:ilvl w:val="0"/>
                <w:numId w:val="1"/>
              </w:numPr>
              <w:pBdr>
                <w:top w:val="nil"/>
                <w:left w:val="nil"/>
                <w:bottom w:val="nil"/>
                <w:right w:val="nil"/>
                <w:between w:val="nil"/>
              </w:pBdr>
              <w:spacing w:after="200"/>
              <w:ind w:left="425"/>
              <w:rPr>
                <w:rFonts w:ascii="Arial" w:eastAsia="Arial" w:hAnsi="Arial" w:cs="Arial"/>
                <w:color w:val="000000"/>
                <w:sz w:val="20"/>
                <w:szCs w:val="20"/>
              </w:rPr>
            </w:pPr>
            <w:r>
              <w:rPr>
                <w:rFonts w:ascii="Arial" w:eastAsia="Arial" w:hAnsi="Arial" w:cs="Arial"/>
                <w:color w:val="000000"/>
                <w:sz w:val="20"/>
                <w:szCs w:val="20"/>
              </w:rPr>
              <w:t xml:space="preserve">Entrevista de Evaluación a cargo de un </w:t>
            </w:r>
            <w:r>
              <w:rPr>
                <w:rFonts w:ascii="Arial" w:eastAsia="Arial" w:hAnsi="Arial" w:cs="Arial"/>
                <w:sz w:val="20"/>
                <w:szCs w:val="20"/>
              </w:rPr>
              <w:t>profesional Asistente Social</w:t>
            </w:r>
            <w:r>
              <w:rPr>
                <w:rFonts w:ascii="Arial" w:eastAsia="Arial" w:hAnsi="Arial" w:cs="Arial"/>
                <w:color w:val="000000"/>
                <w:sz w:val="20"/>
                <w:szCs w:val="20"/>
              </w:rPr>
              <w:t>.</w:t>
            </w:r>
          </w:p>
          <w:p w14:paraId="3B4DA758" w14:textId="77777777" w:rsidR="00DF5ABD" w:rsidRDefault="001750AA">
            <w:pPr>
              <w:numPr>
                <w:ilvl w:val="0"/>
                <w:numId w:val="1"/>
              </w:numPr>
              <w:pBdr>
                <w:top w:val="nil"/>
                <w:left w:val="nil"/>
                <w:bottom w:val="nil"/>
                <w:right w:val="nil"/>
                <w:between w:val="nil"/>
              </w:pBdr>
              <w:spacing w:after="200"/>
              <w:ind w:left="425"/>
              <w:rPr>
                <w:rFonts w:ascii="Arial" w:eastAsia="Arial" w:hAnsi="Arial" w:cs="Arial"/>
                <w:sz w:val="20"/>
                <w:szCs w:val="20"/>
              </w:rPr>
            </w:pPr>
            <w:r>
              <w:rPr>
                <w:rFonts w:ascii="Arial" w:eastAsia="Arial" w:hAnsi="Arial" w:cs="Arial"/>
                <w:sz w:val="20"/>
                <w:szCs w:val="20"/>
              </w:rPr>
              <w:t>Tratamiento y seguimiento de casos por parte de un profesional Asistente Social, Psicólogo(a) y/o del ámbito jurídico (sin pa</w:t>
            </w:r>
            <w:r>
              <w:rPr>
                <w:rFonts w:ascii="Arial" w:eastAsia="Arial" w:hAnsi="Arial" w:cs="Arial"/>
                <w:sz w:val="20"/>
                <w:szCs w:val="20"/>
              </w:rPr>
              <w:t>trocinio).</w:t>
            </w:r>
          </w:p>
        </w:tc>
        <w:tc>
          <w:tcPr>
            <w:tcW w:w="2466" w:type="dxa"/>
            <w:shd w:val="clear" w:color="auto" w:fill="FFFFFF"/>
          </w:tcPr>
          <w:p w14:paraId="2D19BC74" w14:textId="77777777" w:rsidR="00DF5ABD" w:rsidRDefault="001750AA">
            <w:pPr>
              <w:spacing w:after="200"/>
              <w:rPr>
                <w:rFonts w:ascii="Arial" w:eastAsia="Arial" w:hAnsi="Arial" w:cs="Arial"/>
                <w:sz w:val="20"/>
                <w:szCs w:val="20"/>
              </w:rPr>
            </w:pPr>
            <w:r>
              <w:rPr>
                <w:rFonts w:ascii="Arial" w:eastAsia="Arial" w:hAnsi="Arial" w:cs="Arial"/>
                <w:sz w:val="20"/>
                <w:szCs w:val="20"/>
              </w:rPr>
              <w:t>Gratuito.</w:t>
            </w:r>
          </w:p>
        </w:tc>
        <w:tc>
          <w:tcPr>
            <w:tcW w:w="2466" w:type="dxa"/>
            <w:shd w:val="clear" w:color="auto" w:fill="FFFFFF"/>
          </w:tcPr>
          <w:p w14:paraId="4F5F6DAE" w14:textId="77777777" w:rsidR="00DF5ABD" w:rsidRDefault="001750AA">
            <w:pPr>
              <w:spacing w:after="200"/>
              <w:rPr>
                <w:rFonts w:ascii="Arial" w:eastAsia="Arial" w:hAnsi="Arial" w:cs="Arial"/>
                <w:b/>
                <w:sz w:val="20"/>
                <w:szCs w:val="20"/>
              </w:rPr>
            </w:pPr>
            <w:r>
              <w:rPr>
                <w:rFonts w:ascii="Arial" w:eastAsia="Arial" w:hAnsi="Arial" w:cs="Arial"/>
                <w:b/>
                <w:sz w:val="20"/>
                <w:szCs w:val="20"/>
              </w:rPr>
              <w:t>DEPARTAMENTO DE ATENCIÓN A GRUPOS PRIORITARIOS.</w:t>
            </w:r>
          </w:p>
          <w:p w14:paraId="1AFF8740" w14:textId="77777777" w:rsidR="00DF5ABD" w:rsidRDefault="001750AA">
            <w:pPr>
              <w:numPr>
                <w:ilvl w:val="0"/>
                <w:numId w:val="2"/>
              </w:numPr>
              <w:spacing w:after="200"/>
              <w:ind w:left="425"/>
              <w:rPr>
                <w:rFonts w:ascii="Arial" w:eastAsia="Arial" w:hAnsi="Arial" w:cs="Arial"/>
                <w:sz w:val="20"/>
                <w:szCs w:val="20"/>
              </w:rPr>
            </w:pPr>
            <w:r>
              <w:rPr>
                <w:rFonts w:ascii="Arial" w:eastAsia="Arial" w:hAnsi="Arial" w:cs="Arial"/>
                <w:sz w:val="20"/>
                <w:szCs w:val="20"/>
              </w:rPr>
              <w:t>Oficina Comunal de la Mujer.</w:t>
            </w:r>
          </w:p>
          <w:p w14:paraId="57F47053" w14:textId="77777777" w:rsidR="00DF5ABD" w:rsidRDefault="00DF5ABD">
            <w:pPr>
              <w:spacing w:after="200"/>
              <w:rPr>
                <w:rFonts w:ascii="Arial" w:eastAsia="Arial" w:hAnsi="Arial" w:cs="Arial"/>
                <w:sz w:val="20"/>
                <w:szCs w:val="20"/>
              </w:rPr>
            </w:pPr>
          </w:p>
          <w:p w14:paraId="57860455" w14:textId="77777777" w:rsidR="00DF5ABD" w:rsidRDefault="001750AA">
            <w:pPr>
              <w:spacing w:after="200"/>
              <w:rPr>
                <w:rFonts w:ascii="Arial" w:eastAsia="Arial" w:hAnsi="Arial" w:cs="Arial"/>
                <w:b/>
                <w:sz w:val="20"/>
                <w:szCs w:val="20"/>
              </w:rPr>
            </w:pPr>
            <w:r>
              <w:rPr>
                <w:rFonts w:ascii="Arial" w:eastAsia="Arial" w:hAnsi="Arial" w:cs="Arial"/>
                <w:b/>
                <w:sz w:val="20"/>
                <w:szCs w:val="20"/>
              </w:rPr>
              <w:t>Av. Valparaíso Nº729, Viña del Mar.</w:t>
            </w:r>
          </w:p>
          <w:p w14:paraId="4B610519" w14:textId="77777777" w:rsidR="00DF5ABD" w:rsidRDefault="001750AA">
            <w:pPr>
              <w:spacing w:after="200"/>
              <w:rPr>
                <w:rFonts w:ascii="Arial" w:eastAsia="Arial" w:hAnsi="Arial" w:cs="Arial"/>
                <w:sz w:val="20"/>
                <w:szCs w:val="20"/>
              </w:rPr>
            </w:pPr>
            <w:r>
              <w:rPr>
                <w:rFonts w:ascii="Arial" w:eastAsia="Arial" w:hAnsi="Arial" w:cs="Arial"/>
                <w:sz w:val="20"/>
                <w:szCs w:val="20"/>
              </w:rPr>
              <w:t>Fonos:</w:t>
            </w:r>
          </w:p>
          <w:p w14:paraId="640D7037" w14:textId="76CB03EA" w:rsidR="00DF5ABD" w:rsidRDefault="001750AA">
            <w:pPr>
              <w:spacing w:after="200"/>
              <w:rPr>
                <w:rFonts w:ascii="Arial" w:eastAsia="Arial" w:hAnsi="Arial" w:cs="Arial"/>
                <w:sz w:val="20"/>
                <w:szCs w:val="20"/>
              </w:rPr>
            </w:pPr>
            <w:r>
              <w:rPr>
                <w:rFonts w:ascii="Arial" w:eastAsia="Arial" w:hAnsi="Arial" w:cs="Arial"/>
                <w:sz w:val="20"/>
                <w:szCs w:val="20"/>
              </w:rPr>
              <w:t>(32) 218 5404-05</w:t>
            </w:r>
          </w:p>
          <w:p w14:paraId="7296C98A" w14:textId="77777777" w:rsidR="00DF5ABD" w:rsidRDefault="001750AA">
            <w:pPr>
              <w:spacing w:after="200"/>
              <w:rPr>
                <w:rFonts w:ascii="Arial" w:eastAsia="Arial" w:hAnsi="Arial" w:cs="Arial"/>
                <w:sz w:val="20"/>
                <w:szCs w:val="20"/>
              </w:rPr>
            </w:pPr>
            <w:r>
              <w:rPr>
                <w:rFonts w:ascii="Arial" w:eastAsia="Arial" w:hAnsi="Arial" w:cs="Arial"/>
                <w:sz w:val="20"/>
                <w:szCs w:val="20"/>
              </w:rPr>
              <w:t>(32) 218 5424</w:t>
            </w:r>
          </w:p>
          <w:p w14:paraId="1DBEB1FD" w14:textId="77777777" w:rsidR="00DF5ABD" w:rsidRDefault="001750AA">
            <w:pPr>
              <w:rPr>
                <w:rFonts w:ascii="Arial" w:eastAsia="Arial" w:hAnsi="Arial" w:cs="Arial"/>
                <w:b/>
                <w:sz w:val="20"/>
                <w:szCs w:val="20"/>
              </w:rPr>
            </w:pPr>
            <w:r>
              <w:rPr>
                <w:rFonts w:ascii="Arial" w:eastAsia="Arial" w:hAnsi="Arial" w:cs="Arial"/>
                <w:b/>
                <w:sz w:val="20"/>
                <w:szCs w:val="20"/>
              </w:rPr>
              <w:t>(*) IMPORTANTE:</w:t>
            </w:r>
          </w:p>
          <w:p w14:paraId="37BEFE51" w14:textId="77777777" w:rsidR="00DF5ABD" w:rsidRDefault="00DF5ABD">
            <w:pPr>
              <w:rPr>
                <w:rFonts w:ascii="Arial" w:eastAsia="Arial" w:hAnsi="Arial" w:cs="Arial"/>
                <w:b/>
                <w:sz w:val="20"/>
                <w:szCs w:val="20"/>
              </w:rPr>
            </w:pPr>
          </w:p>
          <w:p w14:paraId="352F473D" w14:textId="77777777" w:rsidR="00DF5ABD" w:rsidRDefault="001750AA">
            <w:pPr>
              <w:rPr>
                <w:rFonts w:ascii="Arial" w:eastAsia="Arial" w:hAnsi="Arial" w:cs="Arial"/>
                <w:b/>
                <w:sz w:val="20"/>
                <w:szCs w:val="20"/>
              </w:rPr>
            </w:pPr>
            <w:r>
              <w:rPr>
                <w:rFonts w:ascii="Arial" w:eastAsia="Arial" w:hAnsi="Arial" w:cs="Arial"/>
                <w:b/>
                <w:sz w:val="20"/>
                <w:szCs w:val="20"/>
              </w:rPr>
              <w:t>Dada la contingencia nacional por coronavirus, en las dependencias del Departamento (todas sus oficinas) sólo se realizan atenciones presenciales de carácter urgente, prestadas por personal en sistema de turnos éticos, por lo que la atención a público es d</w:t>
            </w:r>
            <w:r>
              <w:rPr>
                <w:rFonts w:ascii="Arial" w:eastAsia="Arial" w:hAnsi="Arial" w:cs="Arial"/>
                <w:b/>
                <w:sz w:val="20"/>
                <w:szCs w:val="20"/>
              </w:rPr>
              <w:t>e Lunes a Viernes de 09:00 a 14:00 horas, hasta nuevo aviso.</w:t>
            </w:r>
          </w:p>
          <w:p w14:paraId="71CCB285" w14:textId="77777777" w:rsidR="00DF5ABD" w:rsidRDefault="001750AA">
            <w:pPr>
              <w:rPr>
                <w:rFonts w:ascii="Arial" w:eastAsia="Arial" w:hAnsi="Arial" w:cs="Arial"/>
                <w:sz w:val="20"/>
                <w:szCs w:val="20"/>
              </w:rPr>
            </w:pPr>
            <w:r>
              <w:rPr>
                <w:rFonts w:ascii="Arial" w:eastAsia="Arial" w:hAnsi="Arial" w:cs="Arial"/>
                <w:b/>
                <w:sz w:val="20"/>
                <w:szCs w:val="20"/>
              </w:rPr>
              <w:t>Para consultas, prefiera el uso de los fonos de contacto.</w:t>
            </w:r>
          </w:p>
        </w:tc>
        <w:tc>
          <w:tcPr>
            <w:tcW w:w="2466" w:type="dxa"/>
            <w:shd w:val="clear" w:color="auto" w:fill="FFFFFF"/>
          </w:tcPr>
          <w:p w14:paraId="54E97D78" w14:textId="77777777" w:rsidR="00DF5ABD" w:rsidRDefault="001750AA">
            <w:pPr>
              <w:spacing w:after="200"/>
              <w:rPr>
                <w:rFonts w:ascii="Arial" w:eastAsia="Arial" w:hAnsi="Arial" w:cs="Arial"/>
                <w:sz w:val="20"/>
                <w:szCs w:val="20"/>
              </w:rPr>
            </w:pPr>
            <w:r>
              <w:rPr>
                <w:rFonts w:ascii="Arial" w:eastAsia="Arial" w:hAnsi="Arial" w:cs="Arial"/>
                <w:sz w:val="20"/>
                <w:szCs w:val="20"/>
              </w:rPr>
              <w:t>https://gruposprioritariosvina.cl/</w:t>
            </w:r>
          </w:p>
        </w:tc>
      </w:tr>
    </w:tbl>
    <w:p w14:paraId="59CCEB83" w14:textId="77777777" w:rsidR="00DF5ABD" w:rsidRDefault="00DF5ABD">
      <w:pPr>
        <w:rPr>
          <w:rFonts w:ascii="Arial" w:eastAsia="Arial" w:hAnsi="Arial" w:cs="Arial"/>
          <w:sz w:val="20"/>
          <w:szCs w:val="20"/>
        </w:rPr>
      </w:pPr>
    </w:p>
    <w:sectPr w:rsidR="00DF5ABD">
      <w:pgSz w:w="18720" w:h="122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0820"/>
    <w:multiLevelType w:val="multilevel"/>
    <w:tmpl w:val="CFCA0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97216C"/>
    <w:multiLevelType w:val="multilevel"/>
    <w:tmpl w:val="A5543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2A3DA6"/>
    <w:multiLevelType w:val="multilevel"/>
    <w:tmpl w:val="79AEA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BD"/>
    <w:rsid w:val="001750AA"/>
    <w:rsid w:val="005174D5"/>
    <w:rsid w:val="00912515"/>
    <w:rsid w:val="00D078D2"/>
    <w:rsid w:val="00DF5A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427A"/>
  <w15:docId w15:val="{A406C408-3315-4B9E-9A07-DFB79CF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laconcuadrcula">
    <w:name w:val="Table Grid"/>
    <w:basedOn w:val="Tablanormal"/>
    <w:uiPriority w:val="39"/>
    <w:rsid w:val="00C8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5E8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86E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6E51"/>
    <w:rPr>
      <w:rFonts w:ascii="Segoe UI" w:hAnsi="Segoe UI" w:cs="Segoe UI"/>
      <w:sz w:val="18"/>
      <w:szCs w:val="18"/>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AJigBYl8KzgbvZwS2NMqqL2dQ==">AMUW2mVQqZ4pGat0IKQx8g8nmE2hbr6j+URGC+KoaoxPso4UJhuGHcVJQLoKzlHwImA/u1lpG4E3RzPXkii2mHcTJXg7Af+Zrq/OkDVkdXU7ty2Ja1lTcdzKAf0eaDv2vuzpBh8GjSz7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Huerta</dc:creator>
  <cp:lastModifiedBy>Luis Benitez Vargas</cp:lastModifiedBy>
  <cp:revision>6</cp:revision>
  <dcterms:created xsi:type="dcterms:W3CDTF">2019-05-03T19:28:00Z</dcterms:created>
  <dcterms:modified xsi:type="dcterms:W3CDTF">2021-02-11T14:35:00Z</dcterms:modified>
</cp:coreProperties>
</file>